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E3" w:rsidRPr="001542E3" w:rsidRDefault="001542E3" w:rsidP="001542E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4"/>
          <w:szCs w:val="24"/>
          <w:lang w:eastAsia="lv-LV"/>
        </w:rPr>
        <w:t> Biedrības </w:t>
      </w:r>
    </w:p>
    <w:p w:rsidR="001542E3" w:rsidRPr="001542E3" w:rsidRDefault="001542E3" w:rsidP="001542E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4"/>
          <w:szCs w:val="24"/>
          <w:lang w:eastAsia="lv-LV"/>
        </w:rPr>
        <w:t>“Latvijas Basketbola savienība” </w:t>
      </w:r>
    </w:p>
    <w:p w:rsidR="001542E3" w:rsidRPr="001542E3" w:rsidRDefault="001542E3" w:rsidP="001542E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VALDES SĒDE</w:t>
      </w:r>
      <w:r w:rsidRPr="001542E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478"/>
      </w:tblGrid>
      <w:tr w:rsidR="001542E3" w:rsidRPr="001542E3" w:rsidTr="001542E3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2023. gada 24. janvārī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Nr.3 </w:t>
            </w:r>
          </w:p>
        </w:tc>
      </w:tr>
      <w:tr w:rsidR="001542E3" w:rsidRPr="001542E3" w:rsidTr="001542E3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Norises vieta: Attālināti </w:t>
            </w:r>
          </w:p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</w:tbl>
    <w:p w:rsidR="001542E3" w:rsidRPr="001542E3" w:rsidRDefault="001542E3" w:rsidP="001542E3">
      <w:pPr>
        <w:spacing w:after="0" w:line="240" w:lineRule="auto"/>
        <w:ind w:firstLine="4320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         </w:t>
      </w:r>
    </w:p>
    <w:p w:rsidR="001542E3" w:rsidRPr="001542E3" w:rsidRDefault="001542E3" w:rsidP="001542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lv-LV"/>
        </w:rPr>
        <w:t>Sēde sasaukta:</w:t>
      </w: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2023. gada 24. janvārī, plkst.10:00  </w:t>
      </w:r>
    </w:p>
    <w:p w:rsidR="001542E3" w:rsidRPr="001542E3" w:rsidRDefault="001542E3" w:rsidP="001542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7197"/>
      </w:tblGrid>
      <w:tr w:rsidR="001542E3" w:rsidRPr="001542E3" w:rsidTr="001542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Sēdi vada: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LBS prezidents – 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R.Vējonis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542E3" w:rsidRPr="001542E3" w:rsidTr="001542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Sēdē piedalās: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542E3" w:rsidRPr="001542E3" w:rsidTr="001542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Valdes locekļi -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D.Žvirble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E.Lūsis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A.Galvanovskis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542E3" w:rsidRPr="001542E3" w:rsidTr="001542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Klātesošie -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15" w:hanging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K.Cipruss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G.Keisels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K.Janičenoks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A.Pērkons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542E3" w:rsidRPr="001542E3" w:rsidTr="001542E3">
        <w:trPr>
          <w:trHeight w:val="10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Protokolē: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L.Goldmane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</w:tbl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6435"/>
        <w:gridCol w:w="2049"/>
      </w:tblGrid>
      <w:tr w:rsidR="001542E3" w:rsidRPr="001542E3" w:rsidTr="001542E3">
        <w:trPr>
          <w:trHeight w:val="6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Par 2022./2023. gada Latvijas basketbola Užavas kausa 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izcīņas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spēļu kalendāru.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15" w:hanging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Ziņo: 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K.Janičenoks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  <w:p w:rsidR="001542E3" w:rsidRPr="001542E3" w:rsidRDefault="001542E3" w:rsidP="001542E3">
            <w:pPr>
              <w:spacing w:after="0" w:line="240" w:lineRule="auto"/>
              <w:ind w:left="15" w:firstLine="4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42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A.Pērkons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1542E3" w:rsidRPr="001542E3" w:rsidRDefault="001542E3" w:rsidP="001542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  <w:t xml:space="preserve">1. Par 2022./2023. gada Latvijas Basketbola Užavas kausa </w:t>
      </w:r>
      <w:proofErr w:type="spellStart"/>
      <w:r w:rsidRPr="001542E3"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  <w:t>izcīņas</w:t>
      </w:r>
      <w:proofErr w:type="spellEnd"/>
      <w:r w:rsidRPr="001542E3"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  <w:t xml:space="preserve"> spēļu kalendāru.</w:t>
      </w: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LBL direktors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K.Janičenoks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un LBL Galvenais tiesnesis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A.Pērkons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pievienojas LBS valdes sēdei.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K.Janičenoks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informē par radušos situācija ar Latvijas Basketbola Užavas kausa (LBUK) kalendāru.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23.janvārī</w:t>
      </w: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aizvadīta ārkārt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as LBL klubu pārstāvju sapulce.</w:t>
      </w: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Vienīgā komanda, kura netika pārstāvēta - Valmiera GLASS VIA. 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A.Pērkons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skaidro, ka 2022. gada 10. augustā visiem LBUK klubiem e-pastā izsūtīti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izcīņas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kārtu orientējošie datumi, attiecīgi pusfināli – 31.01./01.02. un 14./15.02. Savukārt, 2022. gada 20. decembrī klubi informēti par ceturtdaļfināla spēļu kalendāra izmaiņām un brīdināti, ka pusfināla spēles no 14./15. februāra tiks pārcelti uz 7./8.02. “VEF Rīga” sezon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a Čempionu līgā bija beigusies. F</w:t>
      </w: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inālspēle ieplānota 18./19. 02., ir lietderīgi atstāt vairāk laika starp pusfinālu un finālu. Atbildes vai komentāru no klubiem nebija.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2023. gada 18. janvārī noslēdzoties ceturtdaļfinālam, tiek noskaidrotas pusfināla komandas un 19. janvārī tiek e-pastā izsūtīta informācija par pusfinālu kalendāru un izmaiņām Latvijas – Igaunijas basketbola līgas spēlēm: BK Ventspils – BK Liepāja un BC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Tarvas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– Valmiera GLASS VIA. Valmiera GLASS VIA pārstāvis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R.Zeile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informē, ka 31.01. Valmiera GLASS VIA nevar spēlēt pusfinālu, jo 31.01. un 01.02. Valmierā plānotas Ziemeļeiropas basketbola līgas spēles.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A.Pērkons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informē, ka LBS nav bijusi informācija par Ziemeļeiropas līgas spēlēm šajos datumos. 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No 2022. gada 19. janvāra LBL direktors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K.Janičenoks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un galvenais tiesnesis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A.Pērkons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ir centušies sazināties ar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R.Zeili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, bet neveiksmīgi. 23. janvārī R. Zeile e-pastā informē, ka 8. februārī Valmiera GLASS VIA komanda dosies uz Latvijas – Igaunijas basketbola līgas spēli Rakverē, bet kausa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izcīņas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atbildes spēli ar BK Liepāju aizvadīs 15.02.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A.Pērkons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skaidro, ka šobrīd ir svarīgi izspēlēt pusfināla atbildes spēles 7./8.02., jo LBUK fināls plānots 19. februārī, lai varētu laicīgi plānot finālspēli – lokācija, televīzija un mārketinga aktivitātes. 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lastRenderedPageBreak/>
        <w:t>K.Cipruss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skaidro, ka svarīgi ir sagatavoties LBUK finālspēlei, lai piedāvātu kvalitatīvu produktu.  </w:t>
      </w:r>
    </w:p>
    <w:p w:rsidR="001542E3" w:rsidRPr="001542E3" w:rsidRDefault="001542E3" w:rsidP="001542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R.Vējonis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aicina apstiprināt 2022./2023. gada sezonas Latvijas basketbola Užavas kausa pusfināla spēles datumus:  </w:t>
      </w:r>
    </w:p>
    <w:p w:rsidR="001542E3" w:rsidRPr="001542E3" w:rsidRDefault="001542E3" w:rsidP="001542E3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31. janvāris un 1. februāris; </w:t>
      </w:r>
    </w:p>
    <w:p w:rsidR="001542E3" w:rsidRPr="001542E3" w:rsidRDefault="001542E3" w:rsidP="001542E3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7. un 8. februāris. Visi piekrīt.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695"/>
        <w:gridCol w:w="1740"/>
      </w:tblGrid>
      <w:tr w:rsidR="001542E3" w:rsidRPr="001542E3" w:rsidTr="001542E3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PAR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PRET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ATTURAS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542E3" w:rsidRPr="001542E3" w:rsidTr="001542E3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4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0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0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</w:tbl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lv-LV"/>
        </w:rPr>
        <w:t>NOLEMJ:</w:t>
      </w: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Apstiprināt 2022./2023. gada sezonas Latvijas basketbola Užavas kausa pusfināla spēles datumus:  </w:t>
      </w:r>
    </w:p>
    <w:p w:rsidR="001542E3" w:rsidRPr="001542E3" w:rsidRDefault="001542E3" w:rsidP="001542E3">
      <w:pPr>
        <w:numPr>
          <w:ilvl w:val="0"/>
          <w:numId w:val="3"/>
        </w:numPr>
        <w:spacing w:after="0" w:line="240" w:lineRule="auto"/>
        <w:ind w:left="765" w:firstLine="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31. janvāris un 1. februāris; </w:t>
      </w:r>
    </w:p>
    <w:p w:rsidR="001542E3" w:rsidRPr="001542E3" w:rsidRDefault="001542E3" w:rsidP="001542E3">
      <w:pPr>
        <w:numPr>
          <w:ilvl w:val="0"/>
          <w:numId w:val="3"/>
        </w:numPr>
        <w:spacing w:after="0" w:line="240" w:lineRule="auto"/>
        <w:ind w:left="765" w:firstLine="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7. un 8. februāris.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R.Vējonis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aicina uzdot LBL direktoram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K.Janičenokam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sadarbībā ar Igaunijas Basketbola savienību vienoties par 2023. gada 8. februāra spēles BC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Tarvas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– Valmiera GLASS VIA jauno datumu un laiku. Visi piekrīt.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695"/>
        <w:gridCol w:w="1740"/>
      </w:tblGrid>
      <w:tr w:rsidR="001542E3" w:rsidRPr="001542E3" w:rsidTr="001542E3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PAR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PRET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ATTURAS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542E3" w:rsidRPr="001542E3" w:rsidTr="001542E3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4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0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0</w:t>
            </w: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</w:tbl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lv-LV"/>
        </w:rPr>
        <w:t>NOLEMJ:</w:t>
      </w: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542E3" w:rsidRPr="001542E3" w:rsidRDefault="001542E3" w:rsidP="001542E3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Uzdot LBL direktoram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K.Janičenokam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sadarbībā ar Igaunijas Basketbola savienību vienoties par 2023. gada 8. februāra spēles BC </w:t>
      </w:r>
      <w:proofErr w:type="spellStart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>Tarvas</w:t>
      </w:r>
      <w:proofErr w:type="spellEnd"/>
      <w:r w:rsidRPr="001542E3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– Valmiera GLASS VIA jauno datumu un laiku.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2167"/>
        <w:gridCol w:w="2167"/>
        <w:gridCol w:w="2902"/>
      </w:tblGrid>
      <w:tr w:rsidR="001542E3" w:rsidRPr="001542E3" w:rsidTr="001542E3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Sēdes vadītājs: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R.Vējonis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1542E3" w:rsidRPr="001542E3" w:rsidTr="001542E3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Valdes locekļi: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542E3" w:rsidRPr="001542E3" w:rsidTr="001542E3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E.Lūsis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1542E3" w:rsidRPr="001542E3" w:rsidTr="001542E3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D.Žvirble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1542E3" w:rsidRPr="001542E3" w:rsidTr="001542E3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A.Galvanovskis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1542E3" w:rsidRPr="001542E3" w:rsidTr="001542E3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Protokolēja: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2E3" w:rsidRPr="001542E3" w:rsidRDefault="001542E3" w:rsidP="001542E3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L.Goldmane</w:t>
            </w:r>
            <w:proofErr w:type="spellEnd"/>
            <w:r w:rsidRPr="001542E3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</w:tbl>
    <w:p w:rsidR="001542E3" w:rsidRPr="001542E3" w:rsidRDefault="001542E3" w:rsidP="001542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542E3">
        <w:rPr>
          <w:rFonts w:ascii="RimHelvetica" w:eastAsia="Times New Roman" w:hAnsi="RimHelvetica" w:cs="RimHelvetica"/>
          <w:sz w:val="24"/>
          <w:szCs w:val="24"/>
          <w:lang w:eastAsia="lv-LV"/>
        </w:rPr>
        <w:t> </w:t>
      </w:r>
    </w:p>
    <w:p w:rsidR="00354C52" w:rsidRDefault="00354C52">
      <w:bookmarkStart w:id="0" w:name="_GoBack"/>
      <w:bookmarkEnd w:id="0"/>
    </w:p>
    <w:sectPr w:rsidR="00354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Helvetica">
    <w:altName w:val="Arial"/>
    <w:charset w:val="BA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058"/>
    <w:multiLevelType w:val="multilevel"/>
    <w:tmpl w:val="9C20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D5E3A"/>
    <w:multiLevelType w:val="multilevel"/>
    <w:tmpl w:val="4A14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B10C1"/>
    <w:multiLevelType w:val="multilevel"/>
    <w:tmpl w:val="C33A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E34F81"/>
    <w:multiLevelType w:val="multilevel"/>
    <w:tmpl w:val="A524F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E3"/>
    <w:rsid w:val="001542E3"/>
    <w:rsid w:val="0035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EECFA-5555-4188-A907-5491606A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5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1542E3"/>
  </w:style>
  <w:style w:type="character" w:customStyle="1" w:styleId="eop">
    <w:name w:val="eop"/>
    <w:basedOn w:val="DefaultParagraphFont"/>
    <w:rsid w:val="0015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6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5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7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7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13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6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8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2315</Words>
  <Characters>1321</Characters>
  <Application>Microsoft Office Word</Application>
  <DocSecurity>0</DocSecurity>
  <Lines>11</Lines>
  <Paragraphs>7</Paragraphs>
  <ScaleCrop>false</ScaleCrop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Keisels</dc:creator>
  <cp:keywords/>
  <dc:description/>
  <cp:lastModifiedBy>Guntis Keisels</cp:lastModifiedBy>
  <cp:revision>1</cp:revision>
  <dcterms:created xsi:type="dcterms:W3CDTF">2023-03-21T12:57:00Z</dcterms:created>
  <dcterms:modified xsi:type="dcterms:W3CDTF">2023-03-21T12:59:00Z</dcterms:modified>
</cp:coreProperties>
</file>